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2D69B" w:themeColor="accent3" w:themeTint="99"/>
  <w:body>
    <w:p w:rsidR="000C2DB1" w:rsidRPr="00695D14" w:rsidRDefault="000C2DB1" w:rsidP="000C2DB1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5D14">
        <w:rPr>
          <w:rFonts w:ascii="Times New Roman" w:eastAsia="Times New Roman" w:hAnsi="Times New Roman" w:cs="Times New Roman"/>
          <w:b/>
          <w:sz w:val="24"/>
          <w:szCs w:val="24"/>
        </w:rPr>
        <w:t>Сравнительная таблица</w:t>
      </w:r>
    </w:p>
    <w:p w:rsidR="000C2DB1" w:rsidRPr="00695D14" w:rsidRDefault="00695D14" w:rsidP="000C2DB1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проекту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З</w:t>
      </w:r>
      <w:proofErr w:type="spellStart"/>
      <w:r w:rsidR="000C2DB1" w:rsidRPr="00695D14">
        <w:rPr>
          <w:rFonts w:ascii="Times New Roman" w:eastAsia="Times New Roman" w:hAnsi="Times New Roman" w:cs="Times New Roman"/>
          <w:sz w:val="24"/>
          <w:szCs w:val="24"/>
        </w:rPr>
        <w:t>акона</w:t>
      </w:r>
      <w:proofErr w:type="spellEnd"/>
      <w:r w:rsidR="000C2DB1" w:rsidRPr="00695D14">
        <w:rPr>
          <w:rFonts w:ascii="Times New Roman" w:eastAsia="Times New Roman" w:hAnsi="Times New Roman" w:cs="Times New Roman"/>
          <w:sz w:val="24"/>
          <w:szCs w:val="24"/>
        </w:rPr>
        <w:t xml:space="preserve"> Кыргызской Республики «О внесении </w:t>
      </w:r>
      <w:r w:rsidR="00670634" w:rsidRPr="00695D14">
        <w:rPr>
          <w:rFonts w:ascii="Times New Roman" w:eastAsia="Times New Roman" w:hAnsi="Times New Roman" w:cs="Times New Roman"/>
          <w:sz w:val="24"/>
          <w:szCs w:val="24"/>
        </w:rPr>
        <w:t xml:space="preserve">дополнения и </w:t>
      </w:r>
      <w:r w:rsidR="000C2DB1" w:rsidRPr="00695D14">
        <w:rPr>
          <w:rFonts w:ascii="Times New Roman" w:eastAsia="Times New Roman" w:hAnsi="Times New Roman" w:cs="Times New Roman"/>
          <w:sz w:val="24"/>
          <w:szCs w:val="24"/>
        </w:rPr>
        <w:t>изменени</w:t>
      </w:r>
      <w:r w:rsidR="00670634" w:rsidRPr="00695D14">
        <w:rPr>
          <w:rFonts w:ascii="Times New Roman" w:eastAsia="Times New Roman" w:hAnsi="Times New Roman" w:cs="Times New Roman"/>
          <w:sz w:val="24"/>
          <w:szCs w:val="24"/>
        </w:rPr>
        <w:t>я</w:t>
      </w:r>
      <w:r w:rsidR="000C2DB1" w:rsidRPr="00695D14">
        <w:rPr>
          <w:rFonts w:ascii="Times New Roman" w:eastAsia="Times New Roman" w:hAnsi="Times New Roman" w:cs="Times New Roman"/>
          <w:sz w:val="24"/>
          <w:szCs w:val="24"/>
        </w:rPr>
        <w:t xml:space="preserve"> в Закон Кыргызской Республики «О подготовке к представлению единой налоговой декларации гражданами Кыргызской Республики»</w:t>
      </w:r>
    </w:p>
    <w:p w:rsidR="007C22F9" w:rsidRPr="00695D14" w:rsidRDefault="007C22F9" w:rsidP="000C2DB1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10598" w:type="dxa"/>
        <w:tblLook w:val="04A0" w:firstRow="1" w:lastRow="0" w:firstColumn="1" w:lastColumn="0" w:noHBand="0" w:noVBand="1"/>
      </w:tblPr>
      <w:tblGrid>
        <w:gridCol w:w="486"/>
        <w:gridCol w:w="5056"/>
        <w:gridCol w:w="5056"/>
      </w:tblGrid>
      <w:tr w:rsidR="000C2DB1" w:rsidRPr="00695D14" w:rsidTr="00934A65">
        <w:tc>
          <w:tcPr>
            <w:tcW w:w="486" w:type="dxa"/>
          </w:tcPr>
          <w:p w:rsidR="000C2DB1" w:rsidRPr="00695D14" w:rsidRDefault="000C2DB1" w:rsidP="00756E97">
            <w:pPr>
              <w:ind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56" w:type="dxa"/>
          </w:tcPr>
          <w:p w:rsidR="000C2DB1" w:rsidRPr="00695D14" w:rsidRDefault="000C2DB1" w:rsidP="00695D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5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Действующая редакция  </w:t>
            </w:r>
          </w:p>
        </w:tc>
        <w:tc>
          <w:tcPr>
            <w:tcW w:w="5056" w:type="dxa"/>
          </w:tcPr>
          <w:p w:rsidR="000C2DB1" w:rsidRPr="00695D14" w:rsidRDefault="000C2DB1" w:rsidP="00695D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5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Предлагаемая редакция  </w:t>
            </w:r>
          </w:p>
        </w:tc>
      </w:tr>
      <w:tr w:rsidR="00A71523" w:rsidRPr="00695D14" w:rsidTr="00934A65">
        <w:tc>
          <w:tcPr>
            <w:tcW w:w="486" w:type="dxa"/>
          </w:tcPr>
          <w:p w:rsidR="00A71523" w:rsidRPr="00695D14" w:rsidRDefault="00A71523" w:rsidP="000C2DB1">
            <w:pPr>
              <w:numPr>
                <w:ilvl w:val="0"/>
                <w:numId w:val="2"/>
              </w:numPr>
              <w:ind w:left="0" w:right="113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56" w:type="dxa"/>
          </w:tcPr>
          <w:p w:rsidR="00A71523" w:rsidRPr="00695D14" w:rsidRDefault="00A71523" w:rsidP="00DD05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Статья 4. Государственные гарантии субъектам декларирования</w:t>
            </w:r>
          </w:p>
          <w:p w:rsidR="00A71523" w:rsidRPr="00695D14" w:rsidRDefault="00A71523" w:rsidP="00DD0520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A71523" w:rsidRPr="00695D14" w:rsidRDefault="00A71523" w:rsidP="00A7152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 Декларация о доходах и имуществе не может являться доказательством по уголовному, административному, дисциплинарному или иному процессу.</w:t>
            </w:r>
          </w:p>
          <w:p w:rsidR="00A71523" w:rsidRPr="00695D14" w:rsidRDefault="00A71523" w:rsidP="00A7152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Декларация о доходах и имуществе не является правоустанавливающим или </w:t>
            </w:r>
            <w:proofErr w:type="spellStart"/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правоудостоверяющим</w:t>
            </w:r>
            <w:proofErr w:type="spellEnd"/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документом, за исключением факта признания погашенными обязательств по уплате налогов, таможенных платежей, отчислений по социальному страхованию и иных обязательных платежей в отношении доходов и имущества, полученных по 31 декабря 2012 года включительно.</w:t>
            </w:r>
          </w:p>
          <w:p w:rsidR="00A71523" w:rsidRPr="00695D14" w:rsidRDefault="00A71523" w:rsidP="00A7152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Заверенная уполномоченным должностным лицом декларация о доходах и имуществе будет являться основой для составления и представления гражданами Кыргызской Республики</w:t>
            </w:r>
            <w:r w:rsidRPr="00695D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единой налоговой декларации</w:t>
            </w:r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соответствии со </w:t>
            </w:r>
            <w:hyperlink r:id="rId8" w:anchor="st_92" w:history="1">
              <w:r w:rsidRPr="00695D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статьей 92</w:t>
              </w:r>
            </w:hyperlink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Налогового кодекса Кыргызской Республики, а также декларации об имуществе и доходах государственного служащего Кыргызской Республики и ближайших членов его семьи в соответствии с законами Кыргызской Республики «</w:t>
            </w:r>
            <w:hyperlink r:id="rId9" w:history="1">
              <w:r w:rsidRPr="00695D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О государственной службе Кыргызской Республики</w:t>
              </w:r>
            </w:hyperlink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 и «</w:t>
            </w:r>
            <w:hyperlink r:id="rId10" w:history="1">
              <w:r w:rsidRPr="00695D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О</w:t>
              </w:r>
              <w:proofErr w:type="gramEnd"/>
              <w:r w:rsidRPr="00695D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 xml:space="preserve"> </w:t>
              </w:r>
              <w:proofErr w:type="gramStart"/>
              <w:r w:rsidRPr="00695D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декларировании</w:t>
              </w:r>
              <w:proofErr w:type="gramEnd"/>
              <w:r w:rsidRPr="00695D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 xml:space="preserve"> и публикации сведений о доходах, обязательствах и имуществе лиц, замещающих политические и иные специальные государственные должности, а также их близких родственников</w:t>
              </w:r>
            </w:hyperlink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</w:p>
        </w:tc>
        <w:tc>
          <w:tcPr>
            <w:tcW w:w="5056" w:type="dxa"/>
          </w:tcPr>
          <w:p w:rsidR="00A71523" w:rsidRPr="00695D14" w:rsidRDefault="00A71523" w:rsidP="00A715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Статья 4. Государственные гарантии субъектам декларирования</w:t>
            </w:r>
          </w:p>
          <w:p w:rsidR="00A71523" w:rsidRPr="00695D14" w:rsidRDefault="00A71523" w:rsidP="00A7152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A71523" w:rsidRPr="00695D14" w:rsidRDefault="00A71523" w:rsidP="00A7152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 Декларация о доходах и имуществе не может являться доказательством по уголовному, административному, дисциплинарному или иному процессу.</w:t>
            </w:r>
          </w:p>
          <w:p w:rsidR="00A71523" w:rsidRPr="00695D14" w:rsidRDefault="00A71523" w:rsidP="00A7152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Декларация о доходах и имуществе не является правоустанавливающим или </w:t>
            </w:r>
            <w:proofErr w:type="spellStart"/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правоудостоверяющим</w:t>
            </w:r>
            <w:proofErr w:type="spellEnd"/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документом, за исключением факта признания погашенными обязательств по уплате налогов, таможенных платежей, отчислений по социальному страхованию и иных обязательных платежей в отношении доходов и имущества, полученных по 31 декабря 2012 года включительно.</w:t>
            </w:r>
          </w:p>
          <w:p w:rsidR="00A71523" w:rsidRPr="00695D14" w:rsidRDefault="00A71523" w:rsidP="00A7152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Заверенная уполномоченным должностным лицом декларация о доходах и имуществе будет являться основой для составления и представления гражданами Кыргызской Республики</w:t>
            </w:r>
            <w:r w:rsidRPr="00695D1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единой налоговой декларации</w:t>
            </w:r>
            <w:r w:rsidRPr="00695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695D1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за 2013 год</w:t>
            </w:r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соответствии со </w:t>
            </w:r>
            <w:hyperlink r:id="rId11" w:anchor="st_92" w:history="1">
              <w:r w:rsidRPr="00695D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статьей 92</w:t>
              </w:r>
            </w:hyperlink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Налогового кодекса Кыргызской Республики, а также декларации об имуществе и доходах государственного служащего Кыргызской Республики и ближайших членов его семьи в соответствии с законами Кыргызской Республики «</w:t>
            </w:r>
            <w:hyperlink r:id="rId12" w:history="1">
              <w:r w:rsidRPr="00695D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О государственной службе Кыргызской</w:t>
              </w:r>
              <w:proofErr w:type="gramEnd"/>
              <w:r w:rsidRPr="00695D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 xml:space="preserve"> Республики</w:t>
              </w:r>
            </w:hyperlink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 и «</w:t>
            </w:r>
            <w:hyperlink r:id="rId13" w:history="1">
              <w:r w:rsidRPr="00695D14">
                <w:rPr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О декларировании и публикации сведений о доходах, обязательствах и имуществе лиц, замещающих политические и иные специальные государственные должности, а также их близких родственников</w:t>
              </w:r>
            </w:hyperlink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».</w:t>
            </w:r>
          </w:p>
        </w:tc>
      </w:tr>
      <w:tr w:rsidR="00A71523" w:rsidRPr="00695D14" w:rsidTr="00934A65">
        <w:tc>
          <w:tcPr>
            <w:tcW w:w="486" w:type="dxa"/>
          </w:tcPr>
          <w:p w:rsidR="00A71523" w:rsidRPr="00695D14" w:rsidRDefault="00A71523" w:rsidP="000C2DB1">
            <w:pPr>
              <w:numPr>
                <w:ilvl w:val="0"/>
                <w:numId w:val="2"/>
              </w:numPr>
              <w:ind w:left="0" w:right="113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56" w:type="dxa"/>
          </w:tcPr>
          <w:p w:rsidR="00A71523" w:rsidRPr="00695D14" w:rsidRDefault="00A71523" w:rsidP="00756E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Статья 5. Срок декларирования</w:t>
            </w:r>
          </w:p>
          <w:p w:rsidR="00A71523" w:rsidRPr="00695D14" w:rsidRDefault="00A71523" w:rsidP="00756E97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A71523" w:rsidRPr="00695D14" w:rsidRDefault="00A71523" w:rsidP="00756E97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Сроком декларирования является период времени </w:t>
            </w:r>
            <w:r w:rsidRPr="00695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 1 июля 2013 года </w:t>
            </w:r>
            <w:r w:rsidRPr="00695D14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val="ru-RU"/>
              </w:rPr>
              <w:t>по 31 декабря  2013</w:t>
            </w:r>
            <w:r w:rsidRPr="00695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года</w:t>
            </w:r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включительно.</w:t>
            </w:r>
          </w:p>
          <w:p w:rsidR="00A71523" w:rsidRPr="00695D14" w:rsidRDefault="00A71523" w:rsidP="00756E9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56" w:type="dxa"/>
          </w:tcPr>
          <w:p w:rsidR="00A71523" w:rsidRPr="00695D14" w:rsidRDefault="00A71523" w:rsidP="00756E9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Статья 5. Срок декларирования</w:t>
            </w:r>
          </w:p>
          <w:p w:rsidR="00A71523" w:rsidRPr="00695D14" w:rsidRDefault="00A71523" w:rsidP="00756E97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A71523" w:rsidRPr="00695D14" w:rsidRDefault="00A71523" w:rsidP="00756E97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Сроком декларирования является период времени </w:t>
            </w:r>
            <w:r w:rsidRPr="00695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 1 июля 2013  года</w:t>
            </w:r>
            <w:r w:rsidRPr="00695D1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 xml:space="preserve"> по 1 апреля  2014 </w:t>
            </w:r>
            <w:r w:rsidRPr="00695D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года</w:t>
            </w:r>
            <w:r w:rsidRPr="00695D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включительно.</w:t>
            </w:r>
          </w:p>
          <w:p w:rsidR="00A71523" w:rsidRPr="00695D14" w:rsidRDefault="00A71523" w:rsidP="00756E97">
            <w:pPr>
              <w:widowControl w:val="0"/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C2DB1" w:rsidRPr="00695D14" w:rsidRDefault="000C2DB1" w:rsidP="000C2D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</w:p>
    <w:p w:rsidR="00BA02E3" w:rsidRPr="00265426" w:rsidRDefault="00BA02E3" w:rsidP="00695D14">
      <w:pPr>
        <w:jc w:val="center"/>
        <w:rPr>
          <w:sz w:val="24"/>
        </w:rPr>
      </w:pPr>
      <w:r w:rsidRPr="00695D14">
        <w:rPr>
          <w:rFonts w:ascii="Times New Roman" w:hAnsi="Times New Roman" w:cs="Times New Roman"/>
          <w:b/>
          <w:sz w:val="24"/>
          <w:szCs w:val="24"/>
        </w:rPr>
        <w:t xml:space="preserve">Министр </w:t>
      </w:r>
      <w:r w:rsidR="00695D1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695D1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695D1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695D1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695D14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proofErr w:type="spellStart"/>
      <w:r w:rsidRPr="00695D14">
        <w:rPr>
          <w:rFonts w:ascii="Times New Roman" w:hAnsi="Times New Roman" w:cs="Times New Roman"/>
          <w:b/>
          <w:sz w:val="24"/>
          <w:szCs w:val="24"/>
        </w:rPr>
        <w:t>Т.Сариев</w:t>
      </w:r>
      <w:proofErr w:type="spellEnd"/>
      <w:r w:rsidRPr="00695D14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sectPr w:rsidR="00BA02E3" w:rsidRPr="00265426" w:rsidSect="00BA02E3">
      <w:footerReference w:type="default" r:id="rId14"/>
      <w:pgSz w:w="12240" w:h="15840" w:code="1"/>
      <w:pgMar w:top="567" w:right="851" w:bottom="1701" w:left="1134" w:header="72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2ED" w:rsidRDefault="004622ED" w:rsidP="00DC0817">
      <w:pPr>
        <w:spacing w:after="0" w:line="240" w:lineRule="auto"/>
      </w:pPr>
      <w:r>
        <w:separator/>
      </w:r>
    </w:p>
  </w:endnote>
  <w:endnote w:type="continuationSeparator" w:id="0">
    <w:p w:rsidR="004622ED" w:rsidRDefault="004622ED" w:rsidP="00DC0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3821368"/>
      <w:docPartObj>
        <w:docPartGallery w:val="Page Numbers (Bottom of Page)"/>
        <w:docPartUnique/>
      </w:docPartObj>
    </w:sdtPr>
    <w:sdtEndPr/>
    <w:sdtContent>
      <w:p w:rsidR="00BA02E3" w:rsidRDefault="00BA02E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D14">
          <w:rPr>
            <w:noProof/>
          </w:rPr>
          <w:t>1</w:t>
        </w:r>
        <w:r>
          <w:fldChar w:fldCharType="end"/>
        </w:r>
      </w:p>
    </w:sdtContent>
  </w:sdt>
  <w:p w:rsidR="00BA02E3" w:rsidRDefault="00BA02E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2ED" w:rsidRDefault="004622ED" w:rsidP="00DC0817">
      <w:pPr>
        <w:spacing w:after="0" w:line="240" w:lineRule="auto"/>
      </w:pPr>
      <w:r>
        <w:separator/>
      </w:r>
    </w:p>
  </w:footnote>
  <w:footnote w:type="continuationSeparator" w:id="0">
    <w:p w:rsidR="004622ED" w:rsidRDefault="004622ED" w:rsidP="00DC08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B0593"/>
    <w:multiLevelType w:val="hybridMultilevel"/>
    <w:tmpl w:val="E368A1F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2D10254"/>
    <w:multiLevelType w:val="hybridMultilevel"/>
    <w:tmpl w:val="755CB114"/>
    <w:lvl w:ilvl="0" w:tplc="57B082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DB1"/>
    <w:rsid w:val="000B75F9"/>
    <w:rsid w:val="000C2DB1"/>
    <w:rsid w:val="000F521C"/>
    <w:rsid w:val="001A0D7C"/>
    <w:rsid w:val="00265426"/>
    <w:rsid w:val="002C4A72"/>
    <w:rsid w:val="003D2594"/>
    <w:rsid w:val="004622ED"/>
    <w:rsid w:val="004672A7"/>
    <w:rsid w:val="004912BD"/>
    <w:rsid w:val="00670634"/>
    <w:rsid w:val="00695D14"/>
    <w:rsid w:val="007C22F9"/>
    <w:rsid w:val="0083249B"/>
    <w:rsid w:val="00916C3E"/>
    <w:rsid w:val="00926056"/>
    <w:rsid w:val="00934A65"/>
    <w:rsid w:val="00A71523"/>
    <w:rsid w:val="00B52F1D"/>
    <w:rsid w:val="00BA02E3"/>
    <w:rsid w:val="00DA5D99"/>
    <w:rsid w:val="00DC0817"/>
    <w:rsid w:val="00DD0520"/>
    <w:rsid w:val="00FA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C2DB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C2DB1"/>
    <w:rPr>
      <w:rFonts w:eastAsiaTheme="minorEastAsia"/>
      <w:lang w:val="en-US" w:bidi="en-US"/>
    </w:rPr>
  </w:style>
  <w:style w:type="paragraph" w:styleId="a5">
    <w:name w:val="List Paragraph"/>
    <w:basedOn w:val="a"/>
    <w:uiPriority w:val="34"/>
    <w:qFormat/>
    <w:rsid w:val="000C2DB1"/>
    <w:pPr>
      <w:ind w:left="720"/>
      <w:contextualSpacing/>
    </w:pPr>
  </w:style>
  <w:style w:type="table" w:styleId="a6">
    <w:name w:val="Table Grid"/>
    <w:basedOn w:val="a1"/>
    <w:uiPriority w:val="59"/>
    <w:rsid w:val="000C2DB1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9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12BD"/>
    <w:rPr>
      <w:rFonts w:eastAsiaTheme="minorEastAsia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265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5426"/>
    <w:rPr>
      <w:rFonts w:ascii="Tahoma" w:eastAsiaTheme="minorEastAsia" w:hAnsi="Tahoma" w:cs="Tahoma"/>
      <w:sz w:val="16"/>
      <w:szCs w:val="16"/>
      <w:lang w:val="en-US" w:bidi="en-US"/>
    </w:rPr>
  </w:style>
  <w:style w:type="character" w:styleId="ab">
    <w:name w:val="Hyperlink"/>
    <w:basedOn w:val="a0"/>
    <w:uiPriority w:val="99"/>
    <w:semiHidden/>
    <w:unhideWhenUsed/>
    <w:rsid w:val="00A71523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A71523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A7152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C2DB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C2DB1"/>
    <w:rPr>
      <w:rFonts w:eastAsiaTheme="minorEastAsia"/>
      <w:lang w:val="en-US" w:bidi="en-US"/>
    </w:rPr>
  </w:style>
  <w:style w:type="paragraph" w:styleId="a5">
    <w:name w:val="List Paragraph"/>
    <w:basedOn w:val="a"/>
    <w:uiPriority w:val="34"/>
    <w:qFormat/>
    <w:rsid w:val="000C2DB1"/>
    <w:pPr>
      <w:ind w:left="720"/>
      <w:contextualSpacing/>
    </w:pPr>
  </w:style>
  <w:style w:type="table" w:styleId="a6">
    <w:name w:val="Table Grid"/>
    <w:basedOn w:val="a1"/>
    <w:uiPriority w:val="59"/>
    <w:rsid w:val="000C2DB1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9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912BD"/>
    <w:rPr>
      <w:rFonts w:eastAsiaTheme="minorEastAsia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265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65426"/>
    <w:rPr>
      <w:rFonts w:ascii="Tahoma" w:eastAsiaTheme="minorEastAsia" w:hAnsi="Tahoma" w:cs="Tahoma"/>
      <w:sz w:val="16"/>
      <w:szCs w:val="16"/>
      <w:lang w:val="en-US" w:bidi="en-US"/>
    </w:rPr>
  </w:style>
  <w:style w:type="character" w:styleId="ab">
    <w:name w:val="Hyperlink"/>
    <w:basedOn w:val="a0"/>
    <w:uiPriority w:val="99"/>
    <w:semiHidden/>
    <w:unhideWhenUsed/>
    <w:rsid w:val="00A71523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A71523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A7152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0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5930" TargetMode="External"/><Relationship Id="rId13" Type="http://schemas.openxmlformats.org/officeDocument/2006/relationships/hyperlink" Target="toktom://db/4861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toktom://db/4857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toktom://db/8593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toktom://db/48611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48579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Жениш ЖЖС. Жакыпов</cp:lastModifiedBy>
  <cp:revision>8</cp:revision>
  <cp:lastPrinted>2014-01-31T02:14:00Z</cp:lastPrinted>
  <dcterms:created xsi:type="dcterms:W3CDTF">2013-12-23T12:34:00Z</dcterms:created>
  <dcterms:modified xsi:type="dcterms:W3CDTF">2014-01-31T02:14:00Z</dcterms:modified>
</cp:coreProperties>
</file>